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2" w:type="dxa"/>
        <w:tblLook w:val="00A0" w:firstRow="1" w:lastRow="0" w:firstColumn="1" w:lastColumn="0" w:noHBand="0" w:noVBand="0"/>
      </w:tblPr>
      <w:tblGrid>
        <w:gridCol w:w="12172"/>
        <w:gridCol w:w="1694"/>
        <w:gridCol w:w="236"/>
      </w:tblGrid>
      <w:tr w:rsidR="00172EBA" w:rsidRPr="00172EBA" w:rsidTr="00550AF5">
        <w:trPr>
          <w:trHeight w:val="282"/>
        </w:trPr>
        <w:tc>
          <w:tcPr>
            <w:tcW w:w="12172" w:type="dxa"/>
          </w:tcPr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bookmark41"/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70"/>
              <w:gridCol w:w="5971"/>
            </w:tblGrid>
            <w:tr w:rsidR="00E17402" w:rsidTr="00E17402">
              <w:tc>
                <w:tcPr>
                  <w:tcW w:w="5970" w:type="dxa"/>
                </w:tcPr>
                <w:bookmarkEnd w:id="0"/>
                <w:p w:rsidR="00E17402" w:rsidRPr="00E17402" w:rsidRDefault="00E17402" w:rsidP="00E17402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Республика Алтай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Сельская администрация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Паспаульского сельского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поселения</w:t>
                  </w:r>
                </w:p>
                <w:p w:rsidR="00E17402" w:rsidRPr="00E17402" w:rsidRDefault="00E17402" w:rsidP="00E17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Чойского района</w:t>
                  </w:r>
                </w:p>
                <w:p w:rsidR="00E17402" w:rsidRDefault="00E17402" w:rsidP="00E17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  <w:t>ПОСТАНОВЛЕНИЕ</w:t>
                  </w:r>
                </w:p>
                <w:p w:rsidR="00E17402" w:rsidRPr="00E17402" w:rsidRDefault="00E17402" w:rsidP="00E17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649190, с. Паспаул</w:t>
                  </w:r>
                </w:p>
                <w:p w:rsidR="00E17402" w:rsidRDefault="00E17402" w:rsidP="00E17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тел. 25-3-46</w:t>
                  </w:r>
                </w:p>
              </w:tc>
              <w:tc>
                <w:tcPr>
                  <w:tcW w:w="5971" w:type="dxa"/>
                </w:tcPr>
                <w:p w:rsidR="00E17402" w:rsidRPr="00E17402" w:rsidRDefault="00E17402" w:rsidP="00E17402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Федерациязы</w:t>
                  </w:r>
                  <w:proofErr w:type="spellEnd"/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Алтай Республика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Чой</w:t>
                  </w:r>
                  <w:proofErr w:type="spellEnd"/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аймак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Паспаул</w:t>
                  </w:r>
                  <w:proofErr w:type="gramStart"/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Start"/>
                  <w:proofErr w:type="gramEnd"/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уртынг</w:t>
                  </w:r>
                  <w:proofErr w:type="spellEnd"/>
                </w:p>
                <w:p w:rsid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174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  <w:p w:rsid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64919, с. Паспаул, </w:t>
                  </w:r>
                </w:p>
                <w:p w:rsidR="00E17402" w:rsidRPr="00E17402" w:rsidRDefault="00E17402" w:rsidP="00E1740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9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тел. 25-3-46</w:t>
                  </w:r>
                </w:p>
                <w:p w:rsidR="00E17402" w:rsidRPr="00E17402" w:rsidRDefault="00E17402" w:rsidP="00E1740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</w:rPr>
                  </w:pPr>
                </w:p>
                <w:p w:rsidR="00E17402" w:rsidRDefault="00E17402" w:rsidP="00E174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7402" w:rsidRPr="00E17402" w:rsidRDefault="00E17402" w:rsidP="00E17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26 апреля 2016 года №53</w:t>
            </w:r>
          </w:p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Каракокша</w:t>
            </w:r>
          </w:p>
        </w:tc>
        <w:tc>
          <w:tcPr>
            <w:tcW w:w="236" w:type="dxa"/>
          </w:tcPr>
          <w:p w:rsidR="00172EBA" w:rsidRPr="00172EBA" w:rsidRDefault="00172EBA" w:rsidP="0017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2EBA" w:rsidRPr="00172EBA" w:rsidRDefault="003E5F79" w:rsidP="0024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3FB" w:rsidRDefault="008A2A75" w:rsidP="003E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г.      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Паспаул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3E5F79" w:rsidRPr="003E5F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172EBA" w:rsidRPr="00172EB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№ </w:t>
      </w:r>
      <w:r w:rsidR="003E5F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:rsidR="00172EBA" w:rsidRPr="003E5F79" w:rsidRDefault="003E5F79" w:rsidP="00F053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Правил формирования,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ведения и обязательного опубликования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перечня муниципального имущества </w:t>
      </w:r>
    </w:p>
    <w:p w:rsidR="003E5F79" w:rsidRDefault="00244EFB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Паспауль</w:t>
      </w:r>
      <w:r w:rsidR="00172EBA"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ского сельского поселения,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свободного</w:t>
      </w:r>
      <w:proofErr w:type="gramEnd"/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от прав третьих лиц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(за исключением имущественных прав </w:t>
      </w:r>
      <w:proofErr w:type="gramEnd"/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субъектов малого и среднего предпринимательства),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предусмотренного частью 4 статьи 18 Федерального закона </w:t>
      </w:r>
    </w:p>
    <w:p w:rsidR="003E5F79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«О развитии малого и среднего предпринимательства</w:t>
      </w:r>
    </w:p>
    <w:p w:rsidR="00172EBA" w:rsidRPr="00172EBA" w:rsidRDefault="00172EBA" w:rsidP="003E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72EB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Российской Федерации»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Федеральных законов № 131-ФЗ от 06.10.2003 «Об общих принципах организации местного самоуправления в Российской Федерации», № 135-ФЗ от 26.07.2006 «О защите конкуренции», № 209-ФЗ от 24 июля 2007 «О развитии малого и среднего предпринимательства в Российской Федерации», № 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среднего предпринимательства, и о внесении изменений в отдельные законодательные акты Российской Федерации», Постановления Правительства РФ от 21 августа 2010 г.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</w:t>
      </w:r>
      <w:r w:rsidR="00244EFB">
        <w:rPr>
          <w:rFonts w:ascii="Times New Roman" w:hAnsi="Times New Roman" w:cs="Times New Roman"/>
          <w:sz w:val="24"/>
          <w:szCs w:val="24"/>
          <w:shd w:val="clear" w:color="auto" w:fill="FFFFFF"/>
        </w:rPr>
        <w:t>Паспауль</w:t>
      </w:r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>ское сельское поселение, приказа Федеральной антимонопольной службы Российской Федерации от 10 февраля 2010 г. № 67 «О порядке проведения конкурсов или аукционов на право</w:t>
      </w:r>
      <w:proofErr w:type="gramEnd"/>
      <w:r w:rsidRPr="0017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EBA" w:rsidRPr="003D265F" w:rsidRDefault="00172EBA" w:rsidP="0017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26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ПОСТАНОВЛЯЮ: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1. Утвердить Правила формирования, ведения и обязательного опубликования перечня муниципального имущества </w:t>
      </w:r>
      <w:r w:rsidR="00244EFB">
        <w:t>Паспауль</w:t>
      </w:r>
      <w:r w:rsidRPr="00172EBA">
        <w:t>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1).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lastRenderedPageBreak/>
        <w:t xml:space="preserve">2. </w:t>
      </w:r>
      <w:proofErr w:type="gramStart"/>
      <w:r w:rsidRPr="00172EBA">
        <w:t>Утвердить Порядок и условия предоставления в аренду имущества, находящегося в собственности муниц</w:t>
      </w:r>
      <w:r w:rsidR="00CC7220">
        <w:t>ипального образования Паспаульское</w:t>
      </w:r>
      <w:r w:rsidRPr="00172EBA">
        <w:t xml:space="preserve"> сельское поселение, включенного в Перечень мун</w:t>
      </w:r>
      <w:r w:rsidR="00CC7220">
        <w:t>иципального имущества Паспауль</w:t>
      </w:r>
      <w:r w:rsidRPr="00172EBA">
        <w:t>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2).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3. Утвердить форму Перечня муниципального имущества </w:t>
      </w:r>
      <w:proofErr w:type="spellStart"/>
      <w:r w:rsidR="00CC7220">
        <w:t>Папауль</w:t>
      </w:r>
      <w:r w:rsidR="003E5F79" w:rsidRPr="00172EBA">
        <w:t>ского</w:t>
      </w:r>
      <w:proofErr w:type="spellEnd"/>
      <w:r w:rsidRPr="00172EBA"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3).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textAlignment w:val="baseline"/>
      </w:pPr>
      <w:r w:rsidRPr="00172EBA">
        <w:rPr>
          <w:bdr w:val="none" w:sz="0" w:space="0" w:color="auto" w:frame="1"/>
        </w:rPr>
        <w:t>4. Постановление вступает в силу с момента опубликования (обнародования).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 w:rsidRPr="00172EBA">
        <w:rPr>
          <w:bdr w:val="none" w:sz="0" w:space="0" w:color="auto" w:frame="1"/>
        </w:rPr>
        <w:t>5. Постановление подлежит опубликованию на официальном Интернет сайте муниц</w:t>
      </w:r>
      <w:r w:rsidR="00CC7220">
        <w:rPr>
          <w:bdr w:val="none" w:sz="0" w:space="0" w:color="auto" w:frame="1"/>
        </w:rPr>
        <w:t>ипального образования Паспауль</w:t>
      </w:r>
      <w:r w:rsidRPr="00172EBA">
        <w:rPr>
          <w:bdr w:val="none" w:sz="0" w:space="0" w:color="auto" w:frame="1"/>
        </w:rPr>
        <w:t xml:space="preserve">ское сельское поселение </w:t>
      </w:r>
    </w:p>
    <w:p w:rsidR="00172EBA" w:rsidRDefault="00172EBA" w:rsidP="00172EBA">
      <w:pPr>
        <w:pStyle w:val="a5"/>
        <w:shd w:val="clear" w:color="auto" w:fill="FFFFFF"/>
        <w:spacing w:before="0" w:after="0"/>
        <w:textAlignment w:val="baseline"/>
      </w:pPr>
      <w:r w:rsidRPr="00172EBA">
        <w:t xml:space="preserve">6. </w:t>
      </w:r>
      <w:proofErr w:type="gramStart"/>
      <w:r w:rsidRPr="00172EBA">
        <w:t>Контроль за</w:t>
      </w:r>
      <w:proofErr w:type="gramEnd"/>
      <w:r w:rsidRPr="00172EBA">
        <w:t xml:space="preserve"> выполнением настоящего Постановления оставляю за собой.</w:t>
      </w:r>
    </w:p>
    <w:p w:rsidR="003D265F" w:rsidRDefault="003D265F" w:rsidP="00172EBA">
      <w:pPr>
        <w:pStyle w:val="a5"/>
        <w:shd w:val="clear" w:color="auto" w:fill="FFFFFF"/>
        <w:spacing w:before="0" w:after="0"/>
        <w:textAlignment w:val="baseline"/>
      </w:pPr>
    </w:p>
    <w:p w:rsidR="003D265F" w:rsidRPr="00172EBA" w:rsidRDefault="003D265F" w:rsidP="00172EBA">
      <w:pPr>
        <w:pStyle w:val="a5"/>
        <w:shd w:val="clear" w:color="auto" w:fill="FFFFFF"/>
        <w:spacing w:before="0" w:after="0"/>
        <w:textAlignment w:val="baseline"/>
      </w:pPr>
    </w:p>
    <w:p w:rsidR="00172EBA" w:rsidRDefault="00CC7220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Паспауль</w:t>
      </w:r>
      <w:r w:rsidR="00172EBA">
        <w:rPr>
          <w:rFonts w:ascii="Times New Roman" w:eastAsia="Calibri" w:hAnsi="Times New Roman" w:cs="Times New Roman"/>
          <w:sz w:val="24"/>
          <w:szCs w:val="24"/>
        </w:rPr>
        <w:t xml:space="preserve">ской сельской администрации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В.И. Метлев</w:t>
      </w: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pStyle w:val="a5"/>
        <w:shd w:val="clear" w:color="auto" w:fill="FFFFFF"/>
        <w:jc w:val="right"/>
        <w:textAlignment w:val="baseline"/>
      </w:pPr>
      <w:r w:rsidRPr="00172EBA">
        <w:t>Приложение № 1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jc w:val="center"/>
        <w:textAlignment w:val="baseline"/>
      </w:pPr>
      <w:r w:rsidRPr="00172EBA">
        <w:rPr>
          <w:b/>
          <w:bCs/>
          <w:bdr w:val="none" w:sz="0" w:space="0" w:color="auto" w:frame="1"/>
        </w:rPr>
        <w:t>Правила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jc w:val="center"/>
        <w:textAlignment w:val="baseline"/>
      </w:pPr>
      <w:r w:rsidRPr="00172EBA">
        <w:rPr>
          <w:b/>
          <w:bCs/>
          <w:bdr w:val="none" w:sz="0" w:space="0" w:color="auto" w:frame="1"/>
        </w:rPr>
        <w:t xml:space="preserve">формирования, ведения и обязательного опубликования перечня муниципального имущества </w:t>
      </w:r>
      <w:r w:rsidR="00CC7220">
        <w:rPr>
          <w:b/>
          <w:bCs/>
          <w:bdr w:val="none" w:sz="0" w:space="0" w:color="auto" w:frame="1"/>
        </w:rPr>
        <w:t>Паспауль</w:t>
      </w:r>
      <w:r>
        <w:rPr>
          <w:b/>
          <w:bCs/>
          <w:bdr w:val="none" w:sz="0" w:space="0" w:color="auto" w:frame="1"/>
        </w:rPr>
        <w:t>ского</w:t>
      </w:r>
      <w:r w:rsidRPr="00172EBA">
        <w:rPr>
          <w:b/>
          <w:bCs/>
          <w:bdr w:val="none" w:sz="0" w:space="0" w:color="auto" w:frame="1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1. </w:t>
      </w:r>
      <w:proofErr w:type="gramStart"/>
      <w:r w:rsidRPr="00172EBA"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CC7220">
        <w:t>Паспауль</w:t>
      </w:r>
      <w:r>
        <w:t>ского</w:t>
      </w:r>
      <w:r w:rsidRPr="00172EBA">
        <w:t xml:space="preserve">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172EBA">
        <w:t xml:space="preserve"> </w:t>
      </w:r>
      <w:proofErr w:type="gramStart"/>
      <w:r w:rsidRPr="00172EBA">
        <w:t>целях</w:t>
      </w:r>
      <w:proofErr w:type="gramEnd"/>
      <w:r w:rsidRPr="00172EBA"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2. В перечень вносятся сведения о муниципальном имуществе, соответствующем следующим критериям: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муниципальное имущество не ограничено в обороте;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в) муниципальное имущество не является объектом религиозного назначения;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г) муниципальное имущество не является объектом незавершенного строительства;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д) в отношении муниципального имущества не принято решение администрации </w:t>
      </w:r>
      <w:r w:rsidR="00CC7220">
        <w:t>Паспауль</w:t>
      </w:r>
      <w:r>
        <w:t>ского</w:t>
      </w:r>
      <w:r w:rsidRPr="00172EBA">
        <w:t xml:space="preserve"> сельского поселения о предоставлении его иным лицам;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CC7220">
        <w:t>Паспауль</w:t>
      </w:r>
      <w:r>
        <w:t>ского</w:t>
      </w:r>
      <w:r w:rsidRPr="00172EBA">
        <w:t xml:space="preserve"> сельского поселения</w:t>
      </w:r>
      <w:proofErr w:type="gramStart"/>
      <w:r w:rsidRPr="00172EBA">
        <w:t xml:space="preserve"> ;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ж) муниципальное имущество не признано аварийным и подлежащим сносу или реконструкции.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3. </w:t>
      </w:r>
      <w:proofErr w:type="gramStart"/>
      <w:r w:rsidRPr="00172EBA"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CC7220">
        <w:t>Паспауль</w:t>
      </w:r>
      <w:r>
        <w:t>ского</w:t>
      </w:r>
      <w:r w:rsidRPr="00172EBA">
        <w:t xml:space="preserve"> сельского поселения (далее – уполномоченный орган) об утверждении перечня или о внесении в него изменений на основе предложений органов местного самоуправления, главы </w:t>
      </w:r>
      <w:r w:rsidR="00CC7220">
        <w:t>Паспауль</w:t>
      </w:r>
      <w:r>
        <w:t>ского</w:t>
      </w:r>
      <w:r w:rsidRPr="00172EBA">
        <w:t xml:space="preserve"> сельского поселения,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172EBA"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72EBA">
        <w:t>с даты внесения</w:t>
      </w:r>
      <w:proofErr w:type="gramEnd"/>
      <w:r w:rsidRPr="00172EBA">
        <w:t xml:space="preserve"> соответствующих изменений в реестр муниципального имущества.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172EBA">
        <w:t>с даты</w:t>
      </w:r>
      <w:proofErr w:type="gramEnd"/>
      <w:r w:rsidRPr="00172EBA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в) об отказе в учете предложения.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7. Уполномоченный орган исключает сведения о муниципальном имуществе из перечня в одном из следующих случаев: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в отношении муниципального имущества в установленном законодательством Российской Федерации порядке принято решение уполномоченного органа о его использовании для муниципальных нужд либо для иных целей;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9. Ведение перечня осуществляется уполномоченным органом в электронной форме.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10. Перечень и внесенные в него изменения подлежат: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а) обязательному опубликованию в средствах массовой информации – в течение 10 рабочих дней со дня утверждения;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</w:pPr>
      <w:r w:rsidRPr="00172EBA"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pStyle w:val="a5"/>
        <w:shd w:val="clear" w:color="auto" w:fill="FFFFFF"/>
        <w:jc w:val="right"/>
        <w:textAlignment w:val="baseline"/>
        <w:rPr>
          <w:color w:val="2A2A2A"/>
        </w:rPr>
      </w:pPr>
      <w:r w:rsidRPr="00172EBA">
        <w:rPr>
          <w:color w:val="2A2A2A"/>
        </w:rPr>
        <w:t>Приложение № 2</w:t>
      </w:r>
    </w:p>
    <w:p w:rsidR="00172EBA" w:rsidRPr="00172EBA" w:rsidRDefault="00172EBA" w:rsidP="00172EBA">
      <w:pPr>
        <w:pStyle w:val="a5"/>
        <w:shd w:val="clear" w:color="auto" w:fill="FFFFFF"/>
        <w:spacing w:before="0" w:after="0"/>
        <w:jc w:val="center"/>
        <w:textAlignment w:val="baseline"/>
        <w:rPr>
          <w:color w:val="2A2A2A"/>
        </w:rPr>
      </w:pPr>
      <w:proofErr w:type="gramStart"/>
      <w:r w:rsidRPr="00172EBA">
        <w:rPr>
          <w:b/>
          <w:bCs/>
          <w:color w:val="2A2A2A"/>
          <w:bdr w:val="none" w:sz="0" w:space="0" w:color="auto" w:frame="1"/>
        </w:rPr>
        <w:t>Порядок и условия </w:t>
      </w:r>
      <w:r w:rsidRPr="00172EBA">
        <w:rPr>
          <w:b/>
          <w:bCs/>
          <w:color w:val="2A2A2A"/>
          <w:bdr w:val="none" w:sz="0" w:space="0" w:color="auto" w:frame="1"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4718F6">
        <w:rPr>
          <w:b/>
          <w:bCs/>
          <w:color w:val="2A2A2A"/>
          <w:bdr w:val="none" w:sz="0" w:space="0" w:color="auto" w:frame="1"/>
        </w:rPr>
        <w:t>Паспауль</w:t>
      </w:r>
      <w:r w:rsidR="003E5F79">
        <w:rPr>
          <w:b/>
          <w:bCs/>
          <w:color w:val="2A2A2A"/>
          <w:bdr w:val="none" w:sz="0" w:space="0" w:color="auto" w:frame="1"/>
        </w:rPr>
        <w:t>ское</w:t>
      </w:r>
      <w:r w:rsidRPr="00172EBA">
        <w:rPr>
          <w:b/>
          <w:bCs/>
          <w:color w:val="2A2A2A"/>
          <w:bdr w:val="none" w:sz="0" w:space="0" w:color="auto" w:frame="1"/>
        </w:rPr>
        <w:t xml:space="preserve"> сельское поселение, включенного в Перечень муниципального имущества </w:t>
      </w:r>
      <w:r w:rsidR="004718F6">
        <w:rPr>
          <w:b/>
          <w:bCs/>
          <w:color w:val="2A2A2A"/>
          <w:bdr w:val="none" w:sz="0" w:space="0" w:color="auto" w:frame="1"/>
        </w:rPr>
        <w:t>Паспауль</w:t>
      </w:r>
      <w:r w:rsidR="003E5F79">
        <w:rPr>
          <w:b/>
          <w:bCs/>
          <w:color w:val="2A2A2A"/>
          <w:bdr w:val="none" w:sz="0" w:space="0" w:color="auto" w:frame="1"/>
        </w:rPr>
        <w:t>ское</w:t>
      </w:r>
      <w:r w:rsidRPr="00172EBA">
        <w:rPr>
          <w:b/>
          <w:bCs/>
          <w:color w:val="2A2A2A"/>
          <w:bdr w:val="none" w:sz="0" w:space="0" w:color="auto" w:frame="1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1. Настоящим Порядком регламентируются вопросы, связанные с передачей во владение и (или) пользование (в том числе по льготным условиям)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движимого и недвижимого имущества, находящегос</w:t>
      </w:r>
      <w:r w:rsidR="004718F6">
        <w:rPr>
          <w:color w:val="2A2A2A"/>
        </w:rPr>
        <w:t>я в муниципальной собственности 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2. </w:t>
      </w:r>
      <w:proofErr w:type="gramStart"/>
      <w:r w:rsidRPr="00172EBA">
        <w:rPr>
          <w:color w:val="2A2A2A"/>
        </w:rPr>
        <w:t>Имущество, включенное в Перечень предоставляется</w:t>
      </w:r>
      <w:proofErr w:type="gramEnd"/>
      <w:r w:rsidRPr="00172EBA">
        <w:rPr>
          <w:color w:val="2A2A2A"/>
        </w:rPr>
        <w:t xml:space="preserve">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3. Арендаторами имущества, включенного в Перечень, могут быть: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а)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критериям, установленным статьей 4 Федерального закона от 24 июля 2007 года № 209-ФЗ «О развитии</w:t>
      </w:r>
      <w:proofErr w:type="gramEnd"/>
      <w:r w:rsidRPr="00172EBA">
        <w:rPr>
          <w:color w:val="2A2A2A"/>
        </w:rPr>
        <w:t xml:space="preserve"> малого и среднего предпринимательства в Российской Федерации» (далее – Федеральный закон «О развитии малого и среднего предпринимательства в Российской Федерации»);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«О развитии малого и среднего предпринимательства в Российской Федерации»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– организации).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4. </w:t>
      </w:r>
      <w:proofErr w:type="gramStart"/>
      <w:r w:rsidRPr="00172EBA">
        <w:rPr>
          <w:color w:val="2A2A2A"/>
        </w:rPr>
        <w:t xml:space="preserve">Имущество, находящееся в собственности </w:t>
      </w:r>
      <w:r w:rsidR="004718F6">
        <w:rPr>
          <w:color w:val="2A2A2A"/>
        </w:rPr>
        <w:t>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 «О развитии малого и среднего предпринимательства в Российской Федерации», и в случаях, установленных частью 5 статьи 14 Федерального закона «О развитии малого и среднего предпринимательства в Российской Федерации».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5. Имущество, находящееся в собственности </w:t>
      </w:r>
      <w:r w:rsidR="004718F6">
        <w:rPr>
          <w:color w:val="2A2A2A"/>
        </w:rPr>
        <w:t>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 июля 2006 года № 135-ФЗ «О защите конкуренции». Решение о проведении торгов на право заключения договора</w:t>
      </w:r>
      <w:r w:rsidR="004718F6">
        <w:rPr>
          <w:color w:val="2A2A2A"/>
        </w:rPr>
        <w:t xml:space="preserve"> аренды принимает Администрация 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lastRenderedPageBreak/>
        <w:t>Торги проводятся в соответствии с порядком, установленным Федеральным законом от 26 июля 2006 года № 135-ФЗ «О защите конкуренции».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находящегося в собственности </w:t>
      </w:r>
      <w:r w:rsidR="004718F6">
        <w:rPr>
          <w:color w:val="2A2A2A"/>
        </w:rPr>
        <w:t>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поселения, включенного в Перечень, представляет документы, предусмотренные приказом Федеральной антимонопольной службы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172EBA">
        <w:rPr>
          <w:color w:val="2A2A2A"/>
        </w:rPr>
        <w:t xml:space="preserve">, </w:t>
      </w:r>
      <w:proofErr w:type="gramStart"/>
      <w:r w:rsidRPr="00172EBA">
        <w:rPr>
          <w:color w:val="2A2A2A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 «О развитии</w:t>
      </w:r>
      <w:proofErr w:type="gramEnd"/>
      <w:r w:rsidRPr="00172EBA">
        <w:rPr>
          <w:color w:val="2A2A2A"/>
        </w:rPr>
        <w:t xml:space="preserve"> малого и среднего предпринимательства в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6. При проведении конкурсов или аукционов в отношении имущества, включенного в Перечень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24.07.2007 № 209-ФЗ «О развитии малого и среднего предпринимательства в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Размер арендной платы определяется по результатам торгов.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8. Использование арендаторами имущества, включенного в Перечень, не по целевому назначению не допускается.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172EBA">
        <w:rPr>
          <w:color w:val="2A2A2A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9. </w:t>
      </w:r>
      <w:proofErr w:type="gramStart"/>
      <w:r w:rsidRPr="00172EBA">
        <w:rPr>
          <w:color w:val="2A2A2A"/>
        </w:rPr>
        <w:t>Муниципальное имущество, включенное в Перечень, может предоставляться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 и организациям, образующим инфраструктуру поддержки субъектов МСП, по льготным ставкам арендной платы, порядок определения которых устанавливаются соответственно нормативными правовыми актами Российской Федерации, нормативными правовыми</w:t>
      </w:r>
      <w:proofErr w:type="gramEnd"/>
      <w:r w:rsidRPr="00172EBA">
        <w:rPr>
          <w:color w:val="2A2A2A"/>
        </w:rPr>
        <w:t xml:space="preserve"> актами субъектов Российской Федерации, муниципальными правовыми актами (в соответствии с частью 4.1 ст. 18 Закона № 209-ФЗ).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9.1. Категории субъектов малого и среднего предпринимательства, а также организации, образующие инфраструктуру поддержки субъектов малого и среднего предпринимательства, для которых </w:t>
      </w:r>
      <w:proofErr w:type="gramStart"/>
      <w:r w:rsidRPr="00172EBA">
        <w:rPr>
          <w:color w:val="2A2A2A"/>
        </w:rPr>
        <w:t>устанавливаются льготные условия</w:t>
      </w:r>
      <w:proofErr w:type="gramEnd"/>
      <w:r w:rsidRPr="00172EBA">
        <w:rPr>
          <w:color w:val="2A2A2A"/>
        </w:rPr>
        <w:t xml:space="preserve"> внесения арендной платы: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proofErr w:type="gramStart"/>
      <w:r w:rsidRPr="00172EBA">
        <w:rPr>
          <w:color w:val="2A2A2A"/>
        </w:rPr>
        <w:t>1)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lastRenderedPageBreak/>
        <w:t xml:space="preserve">2) реализующие проекты в сфере </w:t>
      </w:r>
      <w:proofErr w:type="spellStart"/>
      <w:r w:rsidRPr="00172EBA">
        <w:rPr>
          <w:color w:val="2A2A2A"/>
        </w:rPr>
        <w:t>импортозамещения</w:t>
      </w:r>
      <w:proofErr w:type="spellEnd"/>
      <w:r w:rsidRPr="00172EBA">
        <w:rPr>
          <w:color w:val="2A2A2A"/>
        </w:rPr>
        <w:t>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3)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9.2. Арендная плата за пользование имуществом, включенным в Перечень для категорий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</w:t>
      </w:r>
      <w:proofErr w:type="gramStart"/>
      <w:r w:rsidRPr="00172EBA">
        <w:rPr>
          <w:color w:val="2A2A2A"/>
        </w:rPr>
        <w:t>устанавливаются льготные условия</w:t>
      </w:r>
      <w:proofErr w:type="gramEnd"/>
      <w:r w:rsidRPr="00172EBA">
        <w:rPr>
          <w:color w:val="2A2A2A"/>
        </w:rPr>
        <w:t>, вносится в следующем порядке: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 первый год аренды – 100 процентов размера арендной платы;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во второй год аренды – 95 процентов размера арендной платы;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 третий год аренды – 95 процентов размера арендной платы;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>в четвертый год аренды и далее – 90 процентов размера арендной платы.</w:t>
      </w:r>
    </w:p>
    <w:p w:rsidR="00172EBA" w:rsidRP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10. В целях </w:t>
      </w:r>
      <w:proofErr w:type="gramStart"/>
      <w:r w:rsidRPr="00172EBA">
        <w:rPr>
          <w:color w:val="2A2A2A"/>
        </w:rPr>
        <w:t>контроля за</w:t>
      </w:r>
      <w:proofErr w:type="gramEnd"/>
      <w:r w:rsidRPr="00172EBA">
        <w:rPr>
          <w:color w:val="2A2A2A"/>
        </w:rPr>
        <w:t xml:space="preserve"> целевым использованием имущества, переданного в аренду субъектам малого и среднего предпринимательства администрация </w:t>
      </w:r>
      <w:r w:rsidR="00FF63AC">
        <w:rPr>
          <w:color w:val="2A2A2A"/>
        </w:rPr>
        <w:t>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 осуществляет проверки его использования не реже одного раза в год.</w:t>
      </w:r>
    </w:p>
    <w:p w:rsidR="00172EBA" w:rsidRDefault="00172EBA" w:rsidP="00172EBA">
      <w:pPr>
        <w:pStyle w:val="a5"/>
        <w:shd w:val="clear" w:color="auto" w:fill="FFFFFF"/>
        <w:textAlignment w:val="baseline"/>
        <w:rPr>
          <w:color w:val="2A2A2A"/>
        </w:rPr>
      </w:pPr>
      <w:r w:rsidRPr="00172EBA">
        <w:rPr>
          <w:color w:val="2A2A2A"/>
        </w:rPr>
        <w:t xml:space="preserve">11. </w:t>
      </w:r>
      <w:proofErr w:type="gramStart"/>
      <w:r w:rsidRPr="00172EBA">
        <w:rPr>
          <w:color w:val="2A2A2A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п. 1.3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172EBA">
        <w:rPr>
          <w:color w:val="2A2A2A"/>
        </w:rPr>
        <w:t xml:space="preserve"> </w:t>
      </w:r>
      <w:proofErr w:type="gramStart"/>
      <w:r w:rsidRPr="00172EBA">
        <w:rPr>
          <w:color w:val="2A2A2A"/>
        </w:rPr>
        <w:t xml:space="preserve"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</w:t>
      </w:r>
      <w:r w:rsidR="00FF63AC">
        <w:rPr>
          <w:color w:val="2A2A2A"/>
        </w:rPr>
        <w:t>Паспауль</w:t>
      </w:r>
      <w:r w:rsidR="003E5F79">
        <w:rPr>
          <w:color w:val="2A2A2A"/>
        </w:rPr>
        <w:t>ского</w:t>
      </w:r>
      <w:r w:rsidRPr="00172EBA">
        <w:rPr>
          <w:color w:val="2A2A2A"/>
        </w:rPr>
        <w:t xml:space="preserve"> сельского поселения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  <w:proofErr w:type="gramEnd"/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3E5F79">
      <w:pPr>
        <w:pStyle w:val="a5"/>
        <w:shd w:val="clear" w:color="auto" w:fill="FFFFFF"/>
        <w:jc w:val="right"/>
        <w:textAlignment w:val="baseline"/>
        <w:rPr>
          <w:color w:val="2A2A2A"/>
          <w:shd w:val="clear" w:color="auto" w:fill="FFFFFF"/>
        </w:rPr>
      </w:pPr>
      <w:r w:rsidRPr="003E5F79">
        <w:rPr>
          <w:color w:val="2A2A2A"/>
          <w:shd w:val="clear" w:color="auto" w:fill="FFFFFF"/>
        </w:rPr>
        <w:t>Приложение № 3</w:t>
      </w:r>
    </w:p>
    <w:p w:rsidR="003E5F79" w:rsidRDefault="003E5F79" w:rsidP="003E5F79">
      <w:pPr>
        <w:pStyle w:val="a5"/>
        <w:shd w:val="clear" w:color="auto" w:fill="FFFFFF"/>
        <w:jc w:val="right"/>
        <w:textAlignment w:val="baseline"/>
        <w:rPr>
          <w:color w:val="2A2A2A"/>
          <w:shd w:val="clear" w:color="auto" w:fill="FFFFFF"/>
        </w:rPr>
      </w:pPr>
    </w:p>
    <w:p w:rsidR="003E5F79" w:rsidRDefault="003E5F79" w:rsidP="003E5F79">
      <w:pPr>
        <w:pStyle w:val="a5"/>
        <w:shd w:val="clear" w:color="auto" w:fill="FFFFFF"/>
        <w:jc w:val="center"/>
        <w:textAlignment w:val="baseline"/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Форма Перечня </w:t>
      </w:r>
      <w:r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br/>
        <w:t>мун</w:t>
      </w:r>
      <w:r w:rsidR="00FF63AC"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иципального имущества Паспауль</w:t>
      </w:r>
      <w:r>
        <w:rPr>
          <w:rFonts w:ascii="Helvetica" w:hAnsi="Helvetica" w:cs="Helvetica"/>
          <w:b/>
          <w:bCs/>
          <w:color w:val="2A2A2A"/>
          <w:sz w:val="21"/>
          <w:szCs w:val="21"/>
          <w:bdr w:val="none" w:sz="0" w:space="0" w:color="auto" w:frame="1"/>
          <w:shd w:val="clear" w:color="auto" w:fill="FFFFFF"/>
        </w:rPr>
        <w:t>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2717"/>
        <w:gridCol w:w="1812"/>
        <w:gridCol w:w="2199"/>
        <w:gridCol w:w="2046"/>
        <w:gridCol w:w="1723"/>
      </w:tblGrid>
      <w:tr w:rsidR="003E5F79" w:rsidTr="003E5F79">
        <w:tc>
          <w:tcPr>
            <w:tcW w:w="675" w:type="dxa"/>
          </w:tcPr>
          <w:p w:rsidR="003E5F79" w:rsidRP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</w:rPr>
              <w:t>№</w:t>
            </w:r>
          </w:p>
          <w:p w:rsidR="003E5F79" w:rsidRP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  <w:proofErr w:type="gramStart"/>
            <w:r w:rsidRPr="003E5F79">
              <w:rPr>
                <w:color w:val="2A2A2A"/>
              </w:rPr>
              <w:t>п</w:t>
            </w:r>
            <w:proofErr w:type="gramEnd"/>
            <w:r w:rsidRPr="003E5F79">
              <w:rPr>
                <w:color w:val="2A2A2A"/>
              </w:rPr>
              <w:t>/п</w:t>
            </w:r>
          </w:p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</w:p>
        </w:tc>
        <w:tc>
          <w:tcPr>
            <w:tcW w:w="303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Правообладатель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Наименование имущества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Адрес (местонахождение)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Ориентировочная площадь/ Технические характеристики (для машин, оборудования, транспортных средств, иных механизмов)</w:t>
            </w:r>
          </w:p>
        </w:tc>
        <w:tc>
          <w:tcPr>
            <w:tcW w:w="1856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</w:rPr>
            </w:pPr>
            <w:r w:rsidRPr="003E5F79">
              <w:rPr>
                <w:color w:val="2A2A2A"/>
                <w:shd w:val="clear" w:color="auto" w:fill="FFFFFF"/>
              </w:rPr>
              <w:t>Назначение</w:t>
            </w:r>
          </w:p>
        </w:tc>
      </w:tr>
      <w:tr w:rsidR="003E5F79" w:rsidTr="003E5F79">
        <w:tc>
          <w:tcPr>
            <w:tcW w:w="675" w:type="dxa"/>
          </w:tcPr>
          <w:p w:rsidR="003E5F79" w:rsidRP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  <w:r>
              <w:rPr>
                <w:color w:val="2A2A2A"/>
              </w:rPr>
              <w:t>1</w:t>
            </w:r>
          </w:p>
        </w:tc>
        <w:tc>
          <w:tcPr>
            <w:tcW w:w="303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2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3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4</w:t>
            </w:r>
          </w:p>
        </w:tc>
        <w:tc>
          <w:tcPr>
            <w:tcW w:w="1855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5</w:t>
            </w:r>
          </w:p>
        </w:tc>
        <w:tc>
          <w:tcPr>
            <w:tcW w:w="1856" w:type="dxa"/>
          </w:tcPr>
          <w:p w:rsidR="003E5F79" w:rsidRP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  <w:r>
              <w:rPr>
                <w:color w:val="2A2A2A"/>
                <w:shd w:val="clear" w:color="auto" w:fill="FFFFFF"/>
              </w:rPr>
              <w:t>6</w:t>
            </w:r>
          </w:p>
        </w:tc>
      </w:tr>
      <w:tr w:rsidR="003E5F79" w:rsidTr="003E5F79">
        <w:tc>
          <w:tcPr>
            <w:tcW w:w="675" w:type="dxa"/>
          </w:tcPr>
          <w:p w:rsidR="003E5F79" w:rsidRDefault="003E5F79" w:rsidP="003E5F79">
            <w:pPr>
              <w:pStyle w:val="a5"/>
              <w:shd w:val="clear" w:color="auto" w:fill="FFFFFF"/>
              <w:jc w:val="center"/>
              <w:textAlignment w:val="baseline"/>
              <w:rPr>
                <w:color w:val="2A2A2A"/>
              </w:rPr>
            </w:pPr>
          </w:p>
        </w:tc>
        <w:tc>
          <w:tcPr>
            <w:tcW w:w="303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5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  <w:tc>
          <w:tcPr>
            <w:tcW w:w="1856" w:type="dxa"/>
          </w:tcPr>
          <w:p w:rsidR="003E5F79" w:rsidRDefault="003E5F79" w:rsidP="003E5F79">
            <w:pPr>
              <w:pStyle w:val="a5"/>
              <w:jc w:val="center"/>
              <w:textAlignment w:val="baseline"/>
              <w:rPr>
                <w:color w:val="2A2A2A"/>
                <w:shd w:val="clear" w:color="auto" w:fill="FFFFFF"/>
              </w:rPr>
            </w:pPr>
          </w:p>
        </w:tc>
      </w:tr>
    </w:tbl>
    <w:p w:rsidR="003E5F79" w:rsidRPr="003E5F79" w:rsidRDefault="003E5F79" w:rsidP="003E5F79">
      <w:pPr>
        <w:pStyle w:val="a5"/>
        <w:shd w:val="clear" w:color="auto" w:fill="FFFFFF"/>
        <w:jc w:val="center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3E5F79" w:rsidRPr="00172EBA" w:rsidRDefault="003E5F79" w:rsidP="00172EBA">
      <w:pPr>
        <w:pStyle w:val="a5"/>
        <w:shd w:val="clear" w:color="auto" w:fill="FFFFFF"/>
        <w:textAlignment w:val="baseline"/>
        <w:rPr>
          <w:color w:val="2A2A2A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BA" w:rsidRPr="00172EBA" w:rsidRDefault="00172EBA" w:rsidP="00172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72EBA" w:rsidRPr="00172EBA" w:rsidSect="00172EBA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BA"/>
    <w:rsid w:val="00116B7C"/>
    <w:rsid w:val="00172EBA"/>
    <w:rsid w:val="00244EFB"/>
    <w:rsid w:val="003D265F"/>
    <w:rsid w:val="003E5F79"/>
    <w:rsid w:val="004718F6"/>
    <w:rsid w:val="008A2A75"/>
    <w:rsid w:val="00AE0054"/>
    <w:rsid w:val="00CC7220"/>
    <w:rsid w:val="00DA6E67"/>
    <w:rsid w:val="00E17402"/>
    <w:rsid w:val="00F053FB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2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Паспаул</cp:lastModifiedBy>
  <cp:revision>5</cp:revision>
  <dcterms:created xsi:type="dcterms:W3CDTF">2020-02-04T04:07:00Z</dcterms:created>
  <dcterms:modified xsi:type="dcterms:W3CDTF">2020-02-06T01:49:00Z</dcterms:modified>
</cp:coreProperties>
</file>