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35"/>
        <w:gridCol w:w="4410"/>
      </w:tblGrid>
      <w:tr w:rsidR="004D66B2" w:rsidRPr="004D66B2" w:rsidTr="009A39FF">
        <w:trPr>
          <w:trHeight w:val="858"/>
        </w:trPr>
        <w:tc>
          <w:tcPr>
            <w:tcW w:w="3600" w:type="dxa"/>
            <w:hideMark/>
          </w:tcPr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Паспаульского</w:t>
            </w:r>
            <w:proofErr w:type="spellEnd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</w:t>
            </w:r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</w:t>
            </w:r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Чойского</w:t>
            </w:r>
            <w:proofErr w:type="spellEnd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Паспаул</w:t>
            </w:r>
            <w:proofErr w:type="gram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66B2" w:rsidRPr="004D66B2" w:rsidRDefault="004D66B2" w:rsidP="004D66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 xml:space="preserve">   ПОСТАНОВЛЕНИЕ </w:t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proofErr w:type="gramStart"/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>J</w:t>
      </w:r>
      <w:proofErr w:type="gramEnd"/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</w:p>
    <w:p w:rsidR="004D66B2" w:rsidRPr="004D66B2" w:rsidRDefault="004D66B2" w:rsidP="004D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76" w:type="dxa"/>
        <w:tblLook w:val="04A0"/>
      </w:tblPr>
      <w:tblGrid>
        <w:gridCol w:w="2093"/>
        <w:gridCol w:w="4357"/>
        <w:gridCol w:w="3226"/>
      </w:tblGrid>
      <w:tr w:rsidR="004D66B2" w:rsidRPr="004D66B2" w:rsidTr="009A39FF">
        <w:trPr>
          <w:trHeight w:val="282"/>
        </w:trPr>
        <w:tc>
          <w:tcPr>
            <w:tcW w:w="2093" w:type="dxa"/>
          </w:tcPr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7" w:type="dxa"/>
          </w:tcPr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66B2" w:rsidRPr="004D66B2" w:rsidRDefault="00BC0A2B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14</w:t>
            </w:r>
            <w:r w:rsidR="004D66B2"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апреля</w:t>
            </w:r>
            <w:r w:rsidR="004D66B2"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4D66B2"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№ 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66B2" w:rsidRPr="004D66B2" w:rsidRDefault="004D66B2" w:rsidP="004D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6B2" w:rsidRPr="004D66B2" w:rsidRDefault="004D66B2" w:rsidP="004D66B2">
      <w:pPr>
        <w:tabs>
          <w:tab w:val="left" w:pos="468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BC0A2B">
        <w:rPr>
          <w:rFonts w:ascii="Times New Roman" w:eastAsia="Times New Roman" w:hAnsi="Times New Roman" w:cs="Times New Roman"/>
          <w:b/>
          <w:sz w:val="28"/>
          <w:szCs w:val="28"/>
        </w:rPr>
        <w:t>разработки и утверждения бюджетного прогноза муниципального образования «</w:t>
      </w:r>
      <w:proofErr w:type="spellStart"/>
      <w:r w:rsidR="00BC0A2B">
        <w:rPr>
          <w:rFonts w:ascii="Times New Roman" w:eastAsia="Times New Roman" w:hAnsi="Times New Roman" w:cs="Times New Roman"/>
          <w:b/>
          <w:sz w:val="28"/>
          <w:szCs w:val="28"/>
        </w:rPr>
        <w:t>Паспаульское</w:t>
      </w:r>
      <w:proofErr w:type="spellEnd"/>
      <w:r w:rsidR="00BC0A2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на долгосрочный период</w:t>
      </w:r>
    </w:p>
    <w:p w:rsidR="004D66B2" w:rsidRPr="004D66B2" w:rsidRDefault="004D66B2" w:rsidP="004D66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66B2" w:rsidRPr="004D66B2" w:rsidRDefault="004D66B2" w:rsidP="004D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0A2B" w:rsidRPr="0001203A" w:rsidRDefault="00BC0A2B" w:rsidP="00BC0A2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3A">
        <w:rPr>
          <w:rFonts w:ascii="Times New Roman" w:hAnsi="Times New Roman" w:cs="Times New Roman"/>
          <w:sz w:val="28"/>
          <w:szCs w:val="28"/>
        </w:rPr>
        <w:t>В соответствии с пунктом 4 статьи 170.1 Бюджетного кодекса Росси</w:t>
      </w:r>
      <w:r w:rsidRPr="0001203A">
        <w:rPr>
          <w:rFonts w:ascii="Times New Roman" w:hAnsi="Times New Roman" w:cs="Times New Roman"/>
          <w:sz w:val="28"/>
          <w:szCs w:val="28"/>
        </w:rPr>
        <w:t>й</w:t>
      </w:r>
      <w:r w:rsidRPr="0001203A">
        <w:rPr>
          <w:rFonts w:ascii="Times New Roman" w:hAnsi="Times New Roman" w:cs="Times New Roman"/>
          <w:sz w:val="28"/>
          <w:szCs w:val="28"/>
        </w:rPr>
        <w:t xml:space="preserve">ской Федерации </w:t>
      </w:r>
    </w:p>
    <w:p w:rsidR="004D66B2" w:rsidRPr="004D66B2" w:rsidRDefault="004D66B2" w:rsidP="004D6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6B2" w:rsidRPr="004D66B2" w:rsidRDefault="004D66B2" w:rsidP="004D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4D66B2" w:rsidRPr="004D66B2" w:rsidRDefault="004D66B2" w:rsidP="004D66B2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BC0A2B" w:rsidRDefault="00BC0A2B" w:rsidP="00BC0A2B">
      <w:pPr>
        <w:pStyle w:val="a3"/>
        <w:numPr>
          <w:ilvl w:val="0"/>
          <w:numId w:val="2"/>
        </w:num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A2B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разработки и утверждения бюджетного прогноза </w:t>
      </w:r>
      <w:proofErr w:type="spellStart"/>
      <w:r w:rsidRPr="00BC0A2B"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proofErr w:type="spellEnd"/>
      <w:r w:rsidRPr="00BC0A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долгосрочный период согласно приложению</w:t>
      </w:r>
      <w:r w:rsidR="004D66B2" w:rsidRPr="00BC0A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66B2" w:rsidRDefault="004D66B2" w:rsidP="00BC0A2B">
      <w:pPr>
        <w:pStyle w:val="a3"/>
        <w:numPr>
          <w:ilvl w:val="0"/>
          <w:numId w:val="2"/>
        </w:num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A2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C0A2B" w:rsidRDefault="00BC0A2B" w:rsidP="00BC0A2B">
      <w:pPr>
        <w:pStyle w:val="a3"/>
        <w:numPr>
          <w:ilvl w:val="0"/>
          <w:numId w:val="2"/>
        </w:num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на официальном сайте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:rsidR="00BC0A2B" w:rsidRPr="00BC0A2B" w:rsidRDefault="00BC0A2B" w:rsidP="00BC0A2B">
      <w:pPr>
        <w:pStyle w:val="a3"/>
        <w:numPr>
          <w:ilvl w:val="0"/>
          <w:numId w:val="2"/>
        </w:num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0A2B" w:rsidRPr="004D66B2" w:rsidRDefault="00BC0A2B" w:rsidP="00BC0A2B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6B2" w:rsidRPr="004D66B2" w:rsidRDefault="004D66B2" w:rsidP="004D66B2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6B2" w:rsidRPr="004D66B2" w:rsidRDefault="004D66B2" w:rsidP="004D66B2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6B2" w:rsidRPr="004D66B2" w:rsidRDefault="004D66B2" w:rsidP="004D66B2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6B2" w:rsidRPr="004D66B2" w:rsidRDefault="004D66B2" w:rsidP="004D6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сельской администрации </w:t>
      </w:r>
    </w:p>
    <w:p w:rsidR="004D66B2" w:rsidRPr="004D66B2" w:rsidRDefault="004D66B2" w:rsidP="004D66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4D66B2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В.И. </w:t>
      </w:r>
      <w:proofErr w:type="spellStart"/>
      <w:r w:rsidRPr="004D66B2">
        <w:rPr>
          <w:rFonts w:ascii="Times New Roman" w:eastAsia="Times New Roman" w:hAnsi="Times New Roman" w:cs="Times New Roman"/>
          <w:sz w:val="28"/>
          <w:szCs w:val="28"/>
        </w:rPr>
        <w:t>Метлев</w:t>
      </w:r>
      <w:proofErr w:type="spellEnd"/>
    </w:p>
    <w:p w:rsidR="004D66B2" w:rsidRPr="004D66B2" w:rsidRDefault="004D66B2" w:rsidP="004D66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6B2" w:rsidRPr="004D66B2" w:rsidRDefault="004D66B2" w:rsidP="004D66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6B2" w:rsidRPr="004D66B2" w:rsidRDefault="004D66B2" w:rsidP="004D66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6B2" w:rsidRPr="004D66B2" w:rsidRDefault="004D66B2" w:rsidP="004D66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6B2" w:rsidRDefault="004D66B2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6B2" w:rsidRDefault="004D66B2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6B2" w:rsidRDefault="004D66B2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6B2" w:rsidRDefault="004D66B2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6B2" w:rsidRPr="004D66B2" w:rsidRDefault="004D66B2" w:rsidP="004D66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B2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</w:t>
      </w:r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D66B2">
        <w:rPr>
          <w:rFonts w:ascii="Times New Roman" w:eastAsia="Calibri" w:hAnsi="Times New Roman" w:cs="Times New Roman"/>
          <w:lang w:eastAsia="en-US"/>
        </w:rPr>
        <w:t>ТВЕРЖДЕН</w:t>
      </w:r>
    </w:p>
    <w:p w:rsidR="004D66B2" w:rsidRPr="004D66B2" w:rsidRDefault="004D66B2" w:rsidP="004D66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постановлением Главы</w:t>
      </w:r>
    </w:p>
    <w:p w:rsidR="004D66B2" w:rsidRPr="004D66B2" w:rsidRDefault="004D66B2" w:rsidP="004D66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</w:p>
    <w:p w:rsidR="004D66B2" w:rsidRPr="004D66B2" w:rsidRDefault="004D66B2" w:rsidP="004D66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«</w:t>
      </w:r>
      <w:proofErr w:type="spellStart"/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>Паспаульское</w:t>
      </w:r>
      <w:proofErr w:type="spellEnd"/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</w:t>
      </w:r>
    </w:p>
    <w:p w:rsidR="004D66B2" w:rsidRPr="004D66B2" w:rsidRDefault="004D66B2" w:rsidP="004D66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BC0A2B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0A2B">
        <w:rPr>
          <w:rFonts w:ascii="Times New Roman" w:eastAsia="Calibri" w:hAnsi="Times New Roman" w:cs="Times New Roman"/>
          <w:sz w:val="28"/>
          <w:szCs w:val="28"/>
          <w:lang w:eastAsia="en-US"/>
        </w:rPr>
        <w:t>апреля</w:t>
      </w:r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0A2B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</w:t>
      </w:r>
      <w:r w:rsidR="00BC0A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38</w:t>
      </w:r>
    </w:p>
    <w:p w:rsidR="004D66B2" w:rsidRDefault="004D66B2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6B2" w:rsidRPr="004D66B2" w:rsidRDefault="004D66B2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РАЗРАБОТКИ И УТВЕРЖДЕНИЯ БЮДЖЕТНОГО ПРОГНОЗА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ПАСПАУЛЬСКОЕ СЕЛЬСКОЕ ПОСЕЛЕНИЕ</w:t>
      </w:r>
      <w:r w:rsidRPr="004D66B2">
        <w:rPr>
          <w:rFonts w:ascii="Times New Roman" w:eastAsia="Times New Roman" w:hAnsi="Times New Roman" w:cs="Times New Roman"/>
          <w:b/>
          <w:bCs/>
          <w:sz w:val="28"/>
          <w:szCs w:val="28"/>
        </w:rPr>
        <w:t>» НА ДОЛГОСРОЧНЫЙ ПЕРИОД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1. Настоящий Порядок определяет правила разработки и утверждения, период действия, требования к составу и содержанию бюджетного прогноза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>» на долгосрочный период (далее - Бюджетный прогноз).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2. Бюджетный прогноз разрабатывается и утверждается каждые шесть лет на двенадцать и более лет на основе прогноза социально-экономического развития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>» на долгосрочный период.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Разработка Бюджетного прогноза, внесение в него изменений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бухгалтерией 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>» на основе прогноза социально-экономического развития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>» на долгосрочный период, внесения в него изменений (далее - Долгосрочный прогноз, изменения Долгосрочного прогноза).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Бюджетный прогноз может быть изменен с учетом изменения Долгосрочного прогноза и принятого решения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>» о 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>» на очередной финансовый год и плановый период (далее – решение о местном бюджете) без продления периода его действия.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3. Бюджетный прогноз включает в себя: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а) основные условия формирования Бюджетного прогноза в текущем периоде;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б) описание: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основных направлений развития налоговой, бюджетной и долговой политики;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основных характеристик местного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>», а также показателей объема муниципального долга;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в) основные подходы к формированию бюджетной </w:t>
      </w:r>
      <w:proofErr w:type="gramStart"/>
      <w:r w:rsidRPr="004D66B2">
        <w:rPr>
          <w:rFonts w:ascii="Times New Roman" w:eastAsia="Times New Roman" w:hAnsi="Times New Roman" w:cs="Times New Roman"/>
          <w:sz w:val="28"/>
          <w:szCs w:val="28"/>
        </w:rPr>
        <w:t>политики на</w:t>
      </w:r>
      <w:proofErr w:type="gramEnd"/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 долгосрочный период;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lastRenderedPageBreak/>
        <w:t>г) показатели финансового обеспечения муниципальных программ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>» на период их действия.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Бюджетный прогноз может включать иные параметры, необходимые для определения основных подходов к формированию бюджетной </w:t>
      </w:r>
      <w:proofErr w:type="gramStart"/>
      <w:r w:rsidRPr="004D66B2">
        <w:rPr>
          <w:rFonts w:ascii="Times New Roman" w:eastAsia="Times New Roman" w:hAnsi="Times New Roman" w:cs="Times New Roman"/>
          <w:sz w:val="28"/>
          <w:szCs w:val="28"/>
        </w:rPr>
        <w:t>политики на</w:t>
      </w:r>
      <w:proofErr w:type="gramEnd"/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 долгосрочный период.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6. Проект Бюджетного прогноза (проект изменений Бюджетного прогноза) в составе материалов к проекту решения о местном бюджете направляется в Совет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>» в порядке, установленном решением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7. Бюджетный прогноз (изменения Бюджетного прогноза) утверждается Администрацией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>» в срок, не превышающий двух месяцев со дня официального опубликования решения о местном бюджете.</w:t>
      </w:r>
    </w:p>
    <w:p w:rsidR="00000000" w:rsidRPr="004D66B2" w:rsidRDefault="00BC0A2B" w:rsidP="004D66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4D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2BD"/>
    <w:multiLevelType w:val="hybridMultilevel"/>
    <w:tmpl w:val="1A30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0B61"/>
    <w:multiLevelType w:val="hybridMultilevel"/>
    <w:tmpl w:val="A144338A"/>
    <w:lvl w:ilvl="0" w:tplc="F0AA4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6B2"/>
    <w:rsid w:val="004D66B2"/>
    <w:rsid w:val="00BC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D6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66B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C0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BC0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Поносова</dc:creator>
  <cp:lastModifiedBy>Елена Поносова</cp:lastModifiedBy>
  <cp:revision>2</cp:revision>
  <dcterms:created xsi:type="dcterms:W3CDTF">2020-04-14T08:01:00Z</dcterms:created>
  <dcterms:modified xsi:type="dcterms:W3CDTF">2020-04-14T08:01:00Z</dcterms:modified>
</cp:coreProperties>
</file>